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Default="00212541" w:rsidP="00891610">
      <w:pPr>
        <w:spacing w:line="420" w:lineRule="exact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華西村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8916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無購物站 無自費行程</w:t>
      </w:r>
    </w:p>
    <w:p w:rsidR="00891610" w:rsidRPr="00DE266C" w:rsidRDefault="00891610" w:rsidP="00891610">
      <w:pPr>
        <w:spacing w:line="420" w:lineRule="exact"/>
        <w:ind w:firstLineChars="100" w:firstLine="36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一縷薄霧  一點燭光</w:t>
      </w:r>
    </w:p>
    <w:p w:rsidR="00F6594A" w:rsidRPr="00F6594A" w:rsidRDefault="00817EAC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426085</wp:posOffset>
            </wp:positionV>
            <wp:extent cx="2275205" cy="1504950"/>
            <wp:effectExtent l="19050" t="0" r="0" b="0"/>
            <wp:wrapTight wrapText="bothSides">
              <wp:wrapPolygon edited="0">
                <wp:start x="-181" y="0"/>
                <wp:lineTo x="-181" y="21327"/>
                <wp:lineTo x="21522" y="21327"/>
                <wp:lineTo x="21522" y="0"/>
                <wp:lineTo x="-181" y="0"/>
              </wp:wrapPolygon>
            </wp:wrapTight>
            <wp:docPr id="7" name="圖片 5" descr="C:\Users\user\Desktop\600x450_1093e60c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00x450_1093e60c6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473710</wp:posOffset>
            </wp:positionV>
            <wp:extent cx="2431415" cy="1504950"/>
            <wp:effectExtent l="19050" t="0" r="6985" b="0"/>
            <wp:wrapTight wrapText="bothSides">
              <wp:wrapPolygon edited="0">
                <wp:start x="-169" y="0"/>
                <wp:lineTo x="-169" y="21327"/>
                <wp:lineTo x="21662" y="21327"/>
                <wp:lineTo x="21662" y="0"/>
                <wp:lineTo x="-169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473710</wp:posOffset>
            </wp:positionV>
            <wp:extent cx="1924050" cy="1504950"/>
            <wp:effectExtent l="19050" t="0" r="0" b="0"/>
            <wp:wrapTight wrapText="bothSides">
              <wp:wrapPolygon edited="0">
                <wp:start x="-214" y="0"/>
                <wp:lineTo x="-214" y="21327"/>
                <wp:lineTo x="21600" y="21327"/>
                <wp:lineTo x="21600" y="0"/>
                <wp:lineTo x="-214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天下第一村華西村</w:t>
      </w:r>
      <w:proofErr w:type="gramEnd"/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華西金塔展示館、</w:t>
      </w:r>
      <w:proofErr w:type="gramStart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農業大棚</w:t>
      </w:r>
      <w:proofErr w:type="gramEnd"/>
      <w:r w:rsidRPr="001A5690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、民俗宮、龍西湖景區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5B18EE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F6594A" w:rsidRDefault="00817EAC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乘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戰船遊太湖、三國城、三</w:t>
      </w:r>
      <w:proofErr w:type="gramStart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英戰呂布真馬</w:t>
      </w:r>
      <w:proofErr w:type="gramEnd"/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實戰大秀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Pr="00891610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姑蘇</w:t>
      </w: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</w:t>
      </w:r>
      <w:r w:rsidR="00435C95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、乾隆宴、排骨風味、淮陽風味、南京風味、</w:t>
      </w:r>
    </w:p>
    <w:p w:rsidR="00435C95" w:rsidRDefault="00435C95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小籠包風味、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萬山蹄風味</w:t>
      </w:r>
      <w:proofErr w:type="gramEnd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、上海風味、</w:t>
      </w:r>
      <w:proofErr w:type="gramStart"/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本幫風味</w:t>
      </w:r>
      <w:proofErr w:type="gramEnd"/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悅客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假日大酒店、維也納大酒店或同級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太倉喜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來登大酒店或同級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Default="00212541" w:rsidP="00891610">
      <w:pPr>
        <w:spacing w:line="420" w:lineRule="exact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 id="_x0000_s1052" type="#_x0000_t136" style="position:absolute;left:0;text-align:left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華西村拈花灣江南豪華六天"/>
            <o:lock v:ext="edit" text="f"/>
            <w10:wrap type="square"/>
          </v:shape>
        </w:pict>
      </w:r>
      <w:r w:rsidR="008916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無購物站 無自費行程</w:t>
      </w:r>
    </w:p>
    <w:p w:rsidR="00891610" w:rsidRPr="00D40A8C" w:rsidRDefault="00891610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59"/>
        <w:gridCol w:w="1800"/>
        <w:gridCol w:w="3609"/>
        <w:gridCol w:w="3610"/>
      </w:tblGrid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577454">
        <w:tc>
          <w:tcPr>
            <w:tcW w:w="1809" w:type="dxa"/>
            <w:gridSpan w:val="2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5B85A55B" wp14:editId="31256E80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2B51D8">
        <w:tc>
          <w:tcPr>
            <w:tcW w:w="3609" w:type="dxa"/>
            <w:gridSpan w:val="3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2B51D8">
        <w:tc>
          <w:tcPr>
            <w:tcW w:w="10828" w:type="dxa"/>
            <w:gridSpan w:val="5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盤門三景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577454">
        <w:tc>
          <w:tcPr>
            <w:tcW w:w="1809" w:type="dxa"/>
            <w:gridSpan w:val="2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52A84" w:rsidRPr="00F5092F" w:rsidTr="00577454">
        <w:tc>
          <w:tcPr>
            <w:tcW w:w="1809" w:type="dxa"/>
            <w:gridSpan w:val="2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040CE132" wp14:editId="7D27F395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2B51D8">
        <w:tc>
          <w:tcPr>
            <w:tcW w:w="3609" w:type="dxa"/>
            <w:gridSpan w:val="3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姑蘇風味</w:t>
            </w:r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2B51D8">
        <w:tc>
          <w:tcPr>
            <w:tcW w:w="10828" w:type="dxa"/>
            <w:gridSpan w:val="5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</w:t>
            </w:r>
            <w:proofErr w:type="gramStart"/>
            <w:r w:rsidR="00240DAA" w:rsidRPr="00F5092F">
              <w:rPr>
                <w:rFonts w:hint="eastAsia"/>
                <w:b/>
                <w:sz w:val="22"/>
                <w:szCs w:val="22"/>
              </w:rPr>
              <w:t>拈花灣民</w:t>
            </w:r>
            <w:proofErr w:type="gramEnd"/>
            <w:r w:rsidR="00240DAA" w:rsidRPr="00F5092F">
              <w:rPr>
                <w:rFonts w:hint="eastAsia"/>
                <w:b/>
                <w:sz w:val="22"/>
                <w:szCs w:val="22"/>
              </w:rPr>
              <w:t>宿或同級</w:t>
            </w:r>
          </w:p>
        </w:tc>
      </w:tr>
      <w:tr w:rsidR="0003494A" w:rsidRPr="00F5092F" w:rsidTr="00483118">
        <w:tc>
          <w:tcPr>
            <w:tcW w:w="10828" w:type="dxa"/>
            <w:gridSpan w:val="5"/>
            <w:shd w:val="clear" w:color="auto" w:fill="auto"/>
          </w:tcPr>
          <w:p w:rsidR="00433D06" w:rsidRPr="00F5092F" w:rsidRDefault="00240DAA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太湖風景區戰船遊太湖、</w:t>
            </w:r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三國城、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真馬實戰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秀三</w:t>
            </w:r>
            <w:proofErr w:type="gramStart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英戰呂布</w:t>
            </w:r>
            <w:proofErr w:type="gramEnd"/>
            <w:r w:rsidR="0067403C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大型表演</w:t>
            </w:r>
          </w:p>
          <w:p w:rsidR="0003494A" w:rsidRPr="00147BA2" w:rsidRDefault="00DD58F4" w:rsidP="00A717C5">
            <w:pPr>
              <w:snapToGrid w:val="0"/>
              <w:spacing w:line="290" w:lineRule="exact"/>
              <w:ind w:firstLineChars="350" w:firstLine="84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hint="eastAsia"/>
              </w:rPr>
              <w:sym w:font="Webdings" w:char="F076"/>
            </w:r>
            <w:r w:rsidRPr="00147BA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06415A" w:rsidRPr="00F5092F" w:rsidTr="00577454">
        <w:tc>
          <w:tcPr>
            <w:tcW w:w="1809" w:type="dxa"/>
            <w:gridSpan w:val="2"/>
          </w:tcPr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太湖風景區</w:t>
            </w:r>
          </w:p>
          <w:p w:rsidR="0042139F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古戰</w:t>
            </w:r>
            <w:r w:rsidR="0006415A" w:rsidRPr="00F5092F">
              <w:rPr>
                <w:rFonts w:ascii="NSimSun" w:hAnsi="NSimSun" w:cs="NSimSun" w:hint="eastAsia"/>
                <w:b/>
                <w:color w:val="000000"/>
              </w:rPr>
              <w:t>船</w:t>
            </w:r>
          </w:p>
          <w:p w:rsidR="0006415A" w:rsidRPr="00F5092F" w:rsidRDefault="0006415A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遊太湖</w:t>
            </w:r>
            <w:proofErr w:type="gramStart"/>
            <w:r w:rsidR="0067403C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06415A" w:rsidRPr="00F5092F" w:rsidRDefault="0006415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特別安排【乘古</w:t>
            </w:r>
            <w:r w:rsidR="0067403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戰船遊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太湖】，觀賞湖光美景。太湖是中國第三大淡水湖，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周近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400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【三國城】</w:t>
            </w:r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參觀以拍攝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集《三國演義》的巨大影視基地－【三國城】。</w:t>
            </w:r>
          </w:p>
        </w:tc>
      </w:tr>
      <w:tr w:rsidR="0067403C" w:rsidRPr="00F5092F" w:rsidTr="00577454">
        <w:tc>
          <w:tcPr>
            <w:tcW w:w="1809" w:type="dxa"/>
            <w:gridSpan w:val="2"/>
          </w:tcPr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真馬實戰</w:t>
            </w:r>
            <w:proofErr w:type="gramEnd"/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三英戰呂布</w:t>
            </w:r>
          </w:p>
          <w:p w:rsidR="0067403C" w:rsidRPr="00F5092F" w:rsidRDefault="0067403C" w:rsidP="00EB7A61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大型表演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67403C" w:rsidRPr="00F5092F" w:rsidRDefault="0067403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在三國城跑馬場的精彩表演。主要演員都是當年拍《三國演義》時的替身.，他們高超的騎術，精湛的表演，令你似乎又回來了古代那個狼煙四起，群雄逐鹿的年代。</w:t>
            </w:r>
          </w:p>
        </w:tc>
      </w:tr>
      <w:tr w:rsidR="00386BD5" w:rsidRPr="00F5092F" w:rsidTr="00577454">
        <w:tc>
          <w:tcPr>
            <w:tcW w:w="1809" w:type="dxa"/>
            <w:gridSpan w:val="2"/>
          </w:tcPr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42139F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386BD5" w:rsidRPr="00F5092F" w:rsidRDefault="00386BD5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386BD5" w:rsidRPr="00F5092F" w:rsidRDefault="00817EAC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00B892B8" wp14:editId="43E14C6C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="00386BD5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="00386BD5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C76B05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淮陽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尚禾吉山、悅客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假日大酒店、維也納大酒店或同級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4A7E9F" w:rsidRPr="004A7E9F" w:rsidRDefault="00386BD5" w:rsidP="00EB7A61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 w:rsidR="006D7CFE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天下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第一村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華西村華西金塔展示館、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農業大棚</w:t>
            </w:r>
            <w:proofErr w:type="gramEnd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、民俗宮、</w:t>
            </w:r>
          </w:p>
          <w:p w:rsidR="00386BD5" w:rsidRPr="004A7E9F" w:rsidRDefault="00386BD5" w:rsidP="00EB7A61">
            <w:pPr>
              <w:pStyle w:val="af5"/>
              <w:snapToGrid w:val="0"/>
              <w:spacing w:line="290" w:lineRule="exact"/>
              <w:ind w:leftChars="0" w:left="81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龍西湖景區  </w:t>
            </w:r>
            <w:r w:rsidRPr="00F5092F">
              <w:rPr>
                <w:rFonts w:hint="eastAsia"/>
              </w:rPr>
              <w:sym w:font="Webdings" w:char="F076"/>
            </w: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386BD5" w:rsidRPr="00F5092F" w:rsidTr="00837E53">
        <w:tc>
          <w:tcPr>
            <w:tcW w:w="1809" w:type="dxa"/>
            <w:gridSpan w:val="2"/>
          </w:tcPr>
          <w:p w:rsidR="0042139F" w:rsidRPr="00F5092F" w:rsidRDefault="0042139F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386BD5" w:rsidRPr="00F5092F" w:rsidRDefault="006D7CFE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1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3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 w:rsidR="00932A50">
              <w:fldChar w:fldCharType="begin"/>
            </w:r>
            <w:r w:rsidR="00932A50">
              <w:instrText xml:space="preserve"> HYPERLINK "http://baike.baidu.com/item/%E4%B8%AD%E5%8D%8E%E9%97%A8/37138" \t "http://baike.baidu.com/_blank" </w:instrText>
            </w:r>
            <w:r w:rsidR="00932A50"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 w:rsidR="00932A50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4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97442B" w:rsidRPr="00F5092F" w:rsidTr="00837E53">
        <w:tc>
          <w:tcPr>
            <w:tcW w:w="1809" w:type="dxa"/>
            <w:gridSpan w:val="2"/>
          </w:tcPr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新細明體" w:hAnsi="新細明體" w:hint="eastAsia"/>
                <w:b/>
                <w:color w:val="000000"/>
              </w:rPr>
              <w:t>天下第一村</w:t>
            </w:r>
          </w:p>
          <w:p w:rsidR="0097442B" w:rsidRPr="00F5092F" w:rsidRDefault="0097442B" w:rsidP="00EB7A61">
            <w:pPr>
              <w:spacing w:line="290" w:lineRule="exact"/>
              <w:rPr>
                <w:rFonts w:ascii="新細明體" w:hAnsi="新細明體"/>
                <w:b/>
                <w:color w:val="000000"/>
              </w:rPr>
            </w:pPr>
            <w:r w:rsidRPr="00F5092F">
              <w:rPr>
                <w:rFonts w:ascii="新細明體" w:hAnsi="新細明體" w:hint="eastAsia"/>
                <w:b/>
                <w:color w:val="000000"/>
              </w:rPr>
              <w:t xml:space="preserve">     華西村</w:t>
            </w:r>
            <w:proofErr w:type="gramStart"/>
            <w:r w:rsidRPr="00F5092F">
              <w:rPr>
                <w:rFonts w:ascii="新細明體" w:hAnsi="新細明體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19" w:type="dxa"/>
            <w:gridSpan w:val="3"/>
          </w:tcPr>
          <w:p w:rsidR="0097442B" w:rsidRPr="00F5092F" w:rsidRDefault="00805C9A" w:rsidP="00EB7A61">
            <w:pPr>
              <w:spacing w:line="290" w:lineRule="exact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7696" behindDoc="1" locked="0" layoutInCell="1" allowOverlap="1" wp14:anchorId="353DB230" wp14:editId="1AE9B069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5080</wp:posOffset>
                  </wp:positionV>
                  <wp:extent cx="1255395" cy="818515"/>
                  <wp:effectExtent l="19050" t="0" r="1905" b="0"/>
                  <wp:wrapTight wrapText="bothSides">
                    <wp:wrapPolygon edited="0">
                      <wp:start x="-328" y="0"/>
                      <wp:lineTo x="-328" y="21114"/>
                      <wp:lineTo x="21633" y="21114"/>
                      <wp:lineTo x="21633" y="0"/>
                      <wp:lineTo x="-328" y="0"/>
                    </wp:wrapPolygon>
                  </wp:wrapTight>
                  <wp:docPr id="6" name="圖片 4" descr="C:\Users\user\Desktop\600x450_1093e60c6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600x450_1093e60c6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登上【華西金塔展示館】觀看全村景色美麗如畫及欣賞展示品。【農業大棚】內有常年恆溫種植各種的植物並有各類動物如：鴕鳥、羊、四不像、魚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..</w:t>
            </w:r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等。可在此參觀【民俗宮】。【龍西湖景區】欣賞湖畔美景，欣賞華西小長城及天安門及迷你世界公園</w:t>
            </w:r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Start"/>
            <w:r w:rsidR="0097442B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…</w:t>
            </w:r>
            <w:proofErr w:type="gramEnd"/>
            <w:r w:rsidR="0097442B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</w:p>
        </w:tc>
      </w:tr>
      <w:tr w:rsidR="00386BD5" w:rsidRPr="00F5092F" w:rsidTr="002B51D8">
        <w:tc>
          <w:tcPr>
            <w:tcW w:w="3609" w:type="dxa"/>
            <w:gridSpan w:val="3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中餐：南京風味</w:t>
            </w:r>
          </w:p>
        </w:tc>
        <w:tc>
          <w:tcPr>
            <w:tcW w:w="3610" w:type="dxa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晚餐：小籠包風味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386BD5" w:rsidRPr="00F5092F" w:rsidTr="002B51D8">
        <w:tc>
          <w:tcPr>
            <w:tcW w:w="10828" w:type="dxa"/>
            <w:gridSpan w:val="5"/>
          </w:tcPr>
          <w:p w:rsidR="00A717C5" w:rsidRPr="00A717C5" w:rsidRDefault="00386BD5" w:rsidP="00A717C5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NSimSun"/>
                <w:b/>
                <w:color w:val="000000" w:themeColor="text1"/>
              </w:rPr>
            </w:pPr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上海  </w:t>
            </w:r>
            <w:r w:rsidRPr="00F5092F">
              <w:rPr>
                <w:rFonts w:hint="eastAsia"/>
                <w:bCs/>
              </w:rPr>
              <w:sym w:font="Webdings" w:char="F076"/>
            </w:r>
            <w:r w:rsidRPr="00A717C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Pr="00A717C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Pr="00A717C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F5092F">
              <w:rPr>
                <w:rFonts w:hint="eastAsia"/>
                <w:bCs/>
              </w:rPr>
              <w:sym w:font="Webdings" w:char="F076"/>
            </w:r>
            <w:r w:rsidRPr="00A717C5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</w:t>
            </w:r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新天地石庫門、南京路步行街、</w:t>
            </w:r>
          </w:p>
          <w:p w:rsidR="00386BD5" w:rsidRPr="00A717C5" w:rsidRDefault="00386BD5" w:rsidP="00A717C5">
            <w:pPr>
              <w:pStyle w:val="af5"/>
              <w:snapToGrid w:val="0"/>
              <w:spacing w:line="290" w:lineRule="exact"/>
              <w:ind w:leftChars="0" w:left="810"/>
              <w:rPr>
                <w:rFonts w:asciiTheme="minorEastAsia" w:eastAsiaTheme="minorEastAsia" w:hAnsiTheme="minorEastAsia" w:cs="NSimSun"/>
                <w:b/>
                <w:color w:val="000000" w:themeColor="text1"/>
              </w:rPr>
            </w:pPr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萬國建築</w:t>
            </w:r>
            <w:proofErr w:type="gramStart"/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</w:t>
            </w:r>
            <w:r w:rsidR="00F34DAC"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外灘</w:t>
            </w:r>
            <w:proofErr w:type="gramEnd"/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49177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49177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proofErr w:type="gramStart"/>
            <w:r w:rsidR="0049177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49177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491776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、黃埔公園、</w:t>
            </w:r>
            <w:r w:rsidRPr="00A717C5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386BD5" w:rsidRPr="00F5092F" w:rsidTr="00A84A2C">
        <w:tc>
          <w:tcPr>
            <w:tcW w:w="1650" w:type="dxa"/>
          </w:tcPr>
          <w:p w:rsidR="00F12E3F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386BD5" w:rsidRPr="00F5092F" w:rsidTr="00A84A2C">
        <w:tc>
          <w:tcPr>
            <w:tcW w:w="1650" w:type="dxa"/>
          </w:tcPr>
          <w:p w:rsidR="00CB57DB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386BD5" w:rsidRPr="00F5092F" w:rsidTr="00A84A2C">
        <w:tc>
          <w:tcPr>
            <w:tcW w:w="1650" w:type="dxa"/>
          </w:tcPr>
          <w:p w:rsidR="004F4A47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386BD5" w:rsidRPr="00F5092F" w:rsidRDefault="00386BD5" w:rsidP="00EB7A61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386BD5" w:rsidRPr="00F5092F" w:rsidTr="00A84A2C">
        <w:tc>
          <w:tcPr>
            <w:tcW w:w="1650" w:type="dxa"/>
          </w:tcPr>
          <w:p w:rsidR="004C643C" w:rsidRPr="00F5092F" w:rsidRDefault="00386BD5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4C643C" w:rsidRPr="00F5092F" w:rsidRDefault="00386BD5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386BD5" w:rsidRPr="00F5092F" w:rsidRDefault="004C643C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="00386BD5"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178" w:type="dxa"/>
            <w:gridSpan w:val="4"/>
          </w:tcPr>
          <w:p w:rsidR="00386BD5" w:rsidRPr="00F5092F" w:rsidRDefault="00386BD5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491776" w:rsidRPr="00F5092F" w:rsidTr="00A84A2C">
        <w:tc>
          <w:tcPr>
            <w:tcW w:w="1650" w:type="dxa"/>
          </w:tcPr>
          <w:p w:rsidR="00491776" w:rsidRPr="008669D6" w:rsidRDefault="00491776" w:rsidP="00E811CE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bookmarkStart w:id="0" w:name="_GoBack" w:colFirst="0" w:colLast="0"/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491776" w:rsidRPr="008669D6" w:rsidRDefault="00491776" w:rsidP="00E811CE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178" w:type="dxa"/>
            <w:gridSpan w:val="4"/>
          </w:tcPr>
          <w:p w:rsidR="00491776" w:rsidRPr="00146CB5" w:rsidRDefault="00491776" w:rsidP="00E811CE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bookmarkEnd w:id="0"/>
      <w:tr w:rsidR="00491776" w:rsidRPr="00F5092F" w:rsidTr="00A84A2C">
        <w:tc>
          <w:tcPr>
            <w:tcW w:w="1650" w:type="dxa"/>
          </w:tcPr>
          <w:p w:rsidR="00491776" w:rsidRPr="008669D6" w:rsidRDefault="00491776" w:rsidP="00E811CE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491776" w:rsidRPr="008669D6" w:rsidRDefault="00491776" w:rsidP="00E811CE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178" w:type="dxa"/>
            <w:gridSpan w:val="4"/>
          </w:tcPr>
          <w:p w:rsidR="00491776" w:rsidRPr="00A84A2C" w:rsidRDefault="00491776" w:rsidP="00E811CE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491776" w:rsidRPr="00F5092F" w:rsidTr="00A84A2C">
        <w:tc>
          <w:tcPr>
            <w:tcW w:w="1650" w:type="dxa"/>
          </w:tcPr>
          <w:p w:rsidR="00491776" w:rsidRPr="008669D6" w:rsidRDefault="00491776" w:rsidP="00E811CE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178" w:type="dxa"/>
            <w:gridSpan w:val="4"/>
          </w:tcPr>
          <w:p w:rsidR="00491776" w:rsidRPr="00AB36C6" w:rsidRDefault="00491776" w:rsidP="00E811CE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491776" w:rsidRPr="00F5092F" w:rsidTr="00A84A2C">
        <w:tc>
          <w:tcPr>
            <w:tcW w:w="1650" w:type="dxa"/>
          </w:tcPr>
          <w:p w:rsidR="00491776" w:rsidRPr="00F5092F" w:rsidRDefault="00491776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491776" w:rsidRPr="00F5092F" w:rsidRDefault="00491776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7936" behindDoc="1" locked="0" layoutInCell="1" allowOverlap="1" wp14:anchorId="7EF2B018" wp14:editId="3F5A9044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491776" w:rsidRPr="00F5092F" w:rsidTr="002B51D8">
        <w:tc>
          <w:tcPr>
            <w:tcW w:w="3609" w:type="dxa"/>
            <w:gridSpan w:val="3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萬山蹄風味</w:t>
            </w:r>
            <w:proofErr w:type="gramEnd"/>
          </w:p>
        </w:tc>
        <w:tc>
          <w:tcPr>
            <w:tcW w:w="3610" w:type="dxa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晚餐：上海風味</w:t>
            </w:r>
          </w:p>
        </w:tc>
      </w:tr>
      <w:tr w:rsidR="00491776" w:rsidRPr="00F5092F" w:rsidTr="002B51D8">
        <w:tc>
          <w:tcPr>
            <w:tcW w:w="10828" w:type="dxa"/>
            <w:gridSpan w:val="5"/>
            <w:vAlign w:val="center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太倉喜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來登大酒店或同級</w:t>
            </w:r>
          </w:p>
        </w:tc>
      </w:tr>
      <w:tr w:rsidR="00491776" w:rsidRPr="00F5092F" w:rsidTr="002B51D8">
        <w:tc>
          <w:tcPr>
            <w:tcW w:w="10828" w:type="dxa"/>
            <w:gridSpan w:val="5"/>
          </w:tcPr>
          <w:p w:rsidR="00491776" w:rsidRPr="00F5092F" w:rsidRDefault="00491776" w:rsidP="00A717C5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第六天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上海  上海</w:t>
            </w:r>
            <w:proofErr w:type="gramEnd"/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proofErr w:type="gramStart"/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河畔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491776" w:rsidRPr="00F5092F" w:rsidTr="00A84A2C">
        <w:tc>
          <w:tcPr>
            <w:tcW w:w="1650" w:type="dxa"/>
          </w:tcPr>
          <w:p w:rsidR="00491776" w:rsidRPr="00F5092F" w:rsidRDefault="0049177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491776" w:rsidRPr="00F5092F" w:rsidRDefault="0049177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491776" w:rsidRPr="00F5092F" w:rsidRDefault="00491776" w:rsidP="00EB7A61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178" w:type="dxa"/>
            <w:gridSpan w:val="4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491776" w:rsidRPr="00F5092F" w:rsidTr="00A84A2C">
        <w:tc>
          <w:tcPr>
            <w:tcW w:w="1650" w:type="dxa"/>
          </w:tcPr>
          <w:p w:rsidR="00491776" w:rsidRPr="00F5092F" w:rsidRDefault="00491776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車遊上海</w:t>
            </w:r>
            <w:proofErr w:type="gramEnd"/>
          </w:p>
          <w:p w:rsidR="00491776" w:rsidRPr="00F5092F" w:rsidRDefault="00491776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178" w:type="dxa"/>
            <w:gridSpan w:val="4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491776" w:rsidRPr="00F5092F" w:rsidTr="002B51D8">
        <w:tc>
          <w:tcPr>
            <w:tcW w:w="3609" w:type="dxa"/>
            <w:gridSpan w:val="3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lastRenderedPageBreak/>
              <w:t>早餐：酒店內</w:t>
            </w:r>
          </w:p>
        </w:tc>
        <w:tc>
          <w:tcPr>
            <w:tcW w:w="3609" w:type="dxa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本幫風味</w:t>
            </w:r>
            <w:proofErr w:type="gramEnd"/>
          </w:p>
        </w:tc>
        <w:tc>
          <w:tcPr>
            <w:tcW w:w="3610" w:type="dxa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491776" w:rsidRPr="00F5092F" w:rsidTr="002B51D8">
        <w:tc>
          <w:tcPr>
            <w:tcW w:w="10828" w:type="dxa"/>
            <w:gridSpan w:val="5"/>
          </w:tcPr>
          <w:p w:rsidR="00491776" w:rsidRPr="00F5092F" w:rsidRDefault="00491776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491776" w:rsidRPr="00F5092F" w:rsidTr="000A2B7B">
        <w:trPr>
          <w:trHeight w:val="494"/>
        </w:trPr>
        <w:tc>
          <w:tcPr>
            <w:tcW w:w="10828" w:type="dxa"/>
            <w:gridSpan w:val="5"/>
          </w:tcPr>
          <w:p w:rsidR="00491776" w:rsidRPr="00F5092F" w:rsidRDefault="00491776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491776" w:rsidRPr="00F5092F" w:rsidRDefault="00491776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491776" w:rsidRPr="000A2B7B" w:rsidRDefault="00491776" w:rsidP="000A2B7B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41" w:rsidRDefault="00212541" w:rsidP="005113EE">
      <w:r>
        <w:separator/>
      </w:r>
    </w:p>
  </w:endnote>
  <w:endnote w:type="continuationSeparator" w:id="0">
    <w:p w:rsidR="00212541" w:rsidRDefault="00212541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41" w:rsidRDefault="00212541" w:rsidP="005113EE">
      <w:r>
        <w:separator/>
      </w:r>
    </w:p>
  </w:footnote>
  <w:footnote w:type="continuationSeparator" w:id="0">
    <w:p w:rsidR="00212541" w:rsidRDefault="00212541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2B7B"/>
    <w:rsid w:val="000A326E"/>
    <w:rsid w:val="000B2C5E"/>
    <w:rsid w:val="000B628B"/>
    <w:rsid w:val="000C1699"/>
    <w:rsid w:val="000C30ED"/>
    <w:rsid w:val="000C7258"/>
    <w:rsid w:val="000D54FE"/>
    <w:rsid w:val="000D5B78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2541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3118"/>
    <w:rsid w:val="00483E3F"/>
    <w:rsid w:val="00491776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705CF"/>
    <w:rsid w:val="0087121B"/>
    <w:rsid w:val="008808B0"/>
    <w:rsid w:val="008838B2"/>
    <w:rsid w:val="0088415E"/>
    <w:rsid w:val="00891610"/>
    <w:rsid w:val="00894311"/>
    <w:rsid w:val="008968F9"/>
    <w:rsid w:val="008A0CF7"/>
    <w:rsid w:val="008A397A"/>
    <w:rsid w:val="008A66FA"/>
    <w:rsid w:val="008B639C"/>
    <w:rsid w:val="008C1CBB"/>
    <w:rsid w:val="008D00C1"/>
    <w:rsid w:val="008D2BB5"/>
    <w:rsid w:val="008D38A7"/>
    <w:rsid w:val="008D4C47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2BC3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7C5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695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9B%BD%E5%AE%B65A%E7%BA%A7%E6%97%85%E6%B8%B8%E6%99%AF%E5%8C%B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6%B2%88%E5%8E%8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://baike.baidu.com/item/%E8%80%81%E9%97%A8%E8%A5%BF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baike.baidu.com/item/%E5%8D%97%E4%BA%AC%E5%B8%82" TargetMode="External"/><Relationship Id="rId28" Type="http://schemas.openxmlformats.org/officeDocument/2006/relationships/hyperlink" Target="http://baike.baidu.com/item/%E5%8F%8C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baike.baidu.com/item/%E5%AF%8C%E5%AE%89%E6%A1%A5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C2DAC-8511-4DFA-AEE9-62CCCFBA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2017-07-25T09:58:00Z</dcterms:created>
  <dcterms:modified xsi:type="dcterms:W3CDTF">2017-07-25T09:58:00Z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